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34</w:t>
      </w:r>
    </w:p>
    <w:p>
      <w:r>
        <w:t>Bundesgericht (BGE), 1980-07-03, FR</w:t>
      </w:r>
    </w:p>
    <w:p>
      <w:r>
        <w:rPr>
          <w:b/>
        </w:rPr>
        <w:t xml:space="preserve">Quelle: </w:t>
      </w:r>
      <w:r>
        <w:t>https://mcp.opencaselaw.ch/entscheid/bge_106 III 34</w:t>
      </w:r>
    </w:p>
    <w:p>
      <w:r>
        <w:t>FR: ATF 106 III 34</w:t>
      </w:r>
    </w:p>
    <w:p>
      <w:r>
        <w:t>IT: DTF 106 III 34</w:t>
      </w:r>
    </w:p>
    <w:p>
      <w:pPr>
        <w:pStyle w:val="Heading2"/>
      </w:pPr>
      <w:r>
        <w:t>Regeste</w:t>
      </w:r>
    </w:p>
    <w:p>
      <w:r>
        <w:t>Regeste Bestätigung eines Nachlassvertrages (Art. 306 SchKG). Sind die gesetzlichen Voraussetzungen erfüllt, darf die Nachlassbehörde die Bestätigung eines Nachlassvertrages in der Regel selbst dann nicht verweigern, wenn sie bezweifelt, dass dieser für die Gläubiger günstiger ist als der Konkurs. Ob dies der Fall sei, hat sie nur dann zu prüfen, wenn der Schuldner unredliche oder sehr leichtfertige Handlungen begangen hat.</w:t>
      </w:r>
    </w:p>
    <w:p>
      <w:pPr>
        <w:pStyle w:val="Heading2"/>
      </w:pPr>
      <w:r>
        <w:t>Erwägungen</w:t>
      </w:r>
    </w:p>
    <w:p>
      <w:r>
        <w:rPr>
          <w:b/>
        </w:rPr>
        <w:t>E. 2</w:t>
      </w:r>
    </w:p>
    <w:p>
      <w:r>
        <w:t>La recourante fait valoir que la décision attaquée est entachée d'arbitraire en ce sens qu'elle consacre une violation flagrante des art. 305 et 306 LP . Elle tient le raisonnement suivant: Quand, comme en l'espèce, l'autorité constate qu'il y a unanimité des créanciers en faveur du concordat, il n'est plus en son pouvoir d'apprécier si l'homologation est réellement dans l'intérêt des créanciers; si elle substitue néanmoins son appréciation à celle des créanciers, elle tombe dans l'arbitraire. Dès lors qu'en l'occurrence la dignité de celui qui requiert le concordat n'entre pas en ligne de compte, il n'y a pas lieu, quant à BGE 106 III 34 S. 37 savoir si le concordat sera plus avantageux pour les créanciers que la faillite, de s'écarter de l'opinion de ceux-ci, à moins qu'ils n'aient pas eu la possibilité de se déterminer en connaissance de cause ou n'aient été induits en erreur, ce qui n'est pas le cas. a) Le droit du concordat ordinaire ne prévoit pas la possibilité d'adhésion tacite de créanciers au concordat proposé (cf. art. 305 al. 1 LP ). Il se distingue sur ce point de la procédure de concordat pour les banques et les caisses d'épargne, où cette possibilité est expressément consacrée par la loi (cf. l' art. 37 al. 5 LB , l'art. 13 de l'ordonnance du Tribunal fédéral concernant la procédure de concordat pour les banques et les caisses d'épargne, du 11 avril 1935, et l'art. 52 al. 2 du règlement d'exécution de la loi fédérale sur les banques et les caisses d'épargne, du 30 août 1961, SR 952.0, 952.831 et 952.821). Il est donc plus que douteux qu'on puisse admettre, avec les autorités genevoises et la recourante, que le concordat a été accepté également par les créanciers qui n'ont pas fait d'objection au projet (cf. BODMER/KLEINER/LUTZ, Kommentar zum schweizerischen Bankengesetz, n. 32 ad art. 36-37). De toute façon d'ailleurs, même si l'on se borne à prendre en considération les créanciers qui ont expressément adhéré au concordat, il est constant que les majorités prescrites à l' art. 305 al. 1 LP pour l'acceptation du concordat ont été non seulement atteintes, mais dépassées. Il est en revanche sans importance pour le sort de la présente procédure qu'il y ait ou non unanimité des créanciers en faveur du concordat. b) A la différence de l'autorité de première instance, la Cour de justice n'a pas tranché la question de savoir si les administrateurs de SATA ont commis au détriment des créanciers des actes déloyaux ou d'une grande légèreté: se fondant sur ATF 95 III 60 ss., elle a considéré que le fait d'être digne du concordat n'était pas en l'espèce une condition essentielle. Elle s'est expressément bornée à rechercher si le concordat serait vraisemblablement plus avantageux que la faillite, ce qu'elle a ensuite nié. Mais, en procédant à cet examen, la Cour de justice a perdu de vue que, sur un point essentiel, les conditions d'homologation sont plus strictes dans la procédure de concordat pour les banques et les caisses d'épargne que dans la procédure du concordat ordinaire. Aux termes de l' art. 37 al. 6 LB , le concordat BGE 106 III 34 S. 38 ne sera homologué que si les conditions fixées à l' art. 306 LP sont remplies et s'il ressort en outre de toutes les circonstances que les intérêts de l'ensemble des créanciers seront mieux sauvegardés par le concordat que par la faillite. C'est là une réglementation plus sévère par rapport aux principes qui régissent le concordat ordinaire ( ATF 87 III 38 consid. 3; REIMANN, Kommentar zum schweizerischen Bankengesetz, 3e éd., n. 12 ad art. 37). L'autorité concordataire doit, indépendamment de la volonté des créanciers, rechercher si le concordat bancaire sera vraisemblablement plus favorable à l'ensemble des créanciers que la faillite. Elle n'a en revanche pas un tel pouvoir d'examen en matière de concordat ordinaire; si les conditions légales sont remplies, elle ne saurait refuser d'homologuer un concordat même si elle doute qu'il soit plus avantageux aux créanciers que la faillite. Cette différence s'explique par le fait que, dans la procédure de concordat pour les banques et les caisses d'épargne, tous les créanciers qui n'ont pas soulevé d'objections contre le projet de concordat sont considérés comme l'ayant accepté. Il n'y a donc pas de garantie absolue, en cas d'acceptation, qu'une majorité réelle de créanciers ait estimé ce mode de liquidation plus avantageux que la faillite. D'où la nécessité que l'autorité de concordat bancaire procède à un examen des intérêts. c) Il convient néanmoins de préciser qu'il peut arriver que l'autorité de concordat soit amenée, dans la procédure de concordat ordinaire également, à vérifier que les intérêts des créanciers seront vraisemblablement mieux sauvegardés par l'homologation du concordat que par la faillite: c'est le cas quand le débiteur a commis au détriment de ses créanciers un acte déloyal ou d'une grande légèreté. En vertu de l' art. 306 al. 1 LP , l'autorité a le pouvoir d'apprécier s'il faut homologuer le concordat. Le critère d'appréciation déterminant sera que, malgré le comportement déloyal ou léger du débiteur, l'intérêt des créanciers commande l'homologation (FRITZSCHE, Schuldbetreibung und Konkurs, 2e éd., II, p. 328/329; E. BRAND, FJS no 1034 p. 3; H. GLARNER, Unter welchen Umständen ist ein Nachlassvertrag bei Vorliegen von Unwürdigkeitshandlungen des Schuldners durch die Nachlassbehörde zu bestätigen? RSJ 59, 1963, p. 353 ss.; P. LUDWIG, Der Nachlassvertrag mit Vermögensabtretung (Liquidationsvergleich), thèse Berne 1970, p. 18 et n. 8). BGE 106 III 34 S. 39 d) En l'espèce, se référant à ATF 95 III 60 ss., la Cour de justice a délibérément renoncé à rechercher si les administrateurs de SATA avaient commis des actes relevant de l' art. 306 al. 1 LP . Dans ces conditions, la majorité requise des créanciers ayant accepté le concordat, elle n'avait pas le pouvoir d'examiner si le concordat était réellement plus favorable à l'ensemble des créanciers que la faillite. Quand les conditions légales sont remplies, le débiteur a un droit à l'homologation (ainsi: JAEGER, n. 4 ad art. 306 LP ; BLUMENSTEIN, Handbuch des schweizerischen Schuldbetreibungsrechtes, p. 914; E. BRAND, FJS no 958 p. 11, ch. VI 2; H. GLARNER, Das Nachlassvertragsrecht nach schweizerischem SchKG, Zurich 1967, p. 24; C. HÜRLIMANN, Die Nachlasswürdigkeit gemäss Art. 306 SchKG, thèse Zurich 1969, p. 169 et les auteurs cités). Si l'homologation du concordat est subordonnée à une condition que la loi ne prévoit pas et que le concordat soit de ce fait rejeté, on pourrait y voir un déni de justice formel. En tout cas, il y a déni de justice matériel, car l'autorité de concordat tombe dans l'arbitraire quand elle ne limite pas l'examen qui lui incombe aux critères dégagés par le législateur, mais s'arroge un pouvoir qui ne lui appartient pas. La décision attaquée heurte donc l' art. 4 Cst. et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